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88AEC" w14:textId="42F3F5B5" w:rsidR="00EB488A" w:rsidRPr="00922076" w:rsidRDefault="00B27154" w:rsidP="00B05E62">
      <w:pPr>
        <w:rPr>
          <w:rFonts w:ascii="Times New Roman" w:hAnsi="Times New Roman" w:cs="Times New Roman"/>
          <w:b/>
          <w:u w:val="single"/>
        </w:rPr>
      </w:pPr>
      <w:bookmarkStart w:id="0" w:name="_GoBack"/>
      <w:bookmarkEnd w:id="0"/>
      <w:r w:rsidRPr="00922076">
        <w:rPr>
          <w:rFonts w:ascii="Times New Roman" w:hAnsi="Times New Roman" w:cs="Times New Roman"/>
          <w:b/>
          <w:u w:val="single"/>
        </w:rPr>
        <w:t>Preamble</w:t>
      </w:r>
    </w:p>
    <w:p w14:paraId="5487AA74" w14:textId="7FA23EA2" w:rsidR="00D908C2" w:rsidRPr="00922076" w:rsidRDefault="00CB2251">
      <w:pPr>
        <w:rPr>
          <w:rFonts w:ascii="Times New Roman" w:hAnsi="Times New Roman" w:cs="Times New Roman"/>
        </w:rPr>
      </w:pPr>
      <w:r w:rsidRPr="00922076">
        <w:rPr>
          <w:rFonts w:ascii="Times New Roman" w:hAnsi="Times New Roman" w:cs="Times New Roman"/>
        </w:rPr>
        <w:t>There are t</w:t>
      </w:r>
      <w:r w:rsidR="00B27154" w:rsidRPr="00922076">
        <w:rPr>
          <w:rFonts w:ascii="Times New Roman" w:hAnsi="Times New Roman" w:cs="Times New Roman"/>
        </w:rPr>
        <w:t>wo recurring themes in faculty conversations about institutional citizenship/service work</w:t>
      </w:r>
      <w:r w:rsidRPr="00922076">
        <w:rPr>
          <w:rFonts w:ascii="Times New Roman" w:hAnsi="Times New Roman" w:cs="Times New Roman"/>
        </w:rPr>
        <w:t>:</w:t>
      </w:r>
      <w:r w:rsidR="00B27154" w:rsidRPr="00922076">
        <w:rPr>
          <w:rFonts w:ascii="Times New Roman" w:hAnsi="Times New Roman" w:cs="Times New Roman"/>
        </w:rPr>
        <w:t xml:space="preserve"> many faculty feel overburdened by the weight of these activities, and the burdens of</w:t>
      </w:r>
      <w:r w:rsidR="00D908C2" w:rsidRPr="00922076">
        <w:rPr>
          <w:rFonts w:ascii="Times New Roman" w:hAnsi="Times New Roman" w:cs="Times New Roman"/>
        </w:rPr>
        <w:t xml:space="preserve"> at least</w:t>
      </w:r>
      <w:r w:rsidR="00B27154" w:rsidRPr="00922076">
        <w:rPr>
          <w:rFonts w:ascii="Times New Roman" w:hAnsi="Times New Roman" w:cs="Times New Roman"/>
        </w:rPr>
        <w:t xml:space="preserve"> some of these activities fall disproportionately on </w:t>
      </w:r>
      <w:r w:rsidRPr="00922076">
        <w:rPr>
          <w:rFonts w:ascii="Times New Roman" w:hAnsi="Times New Roman" w:cs="Times New Roman"/>
        </w:rPr>
        <w:t xml:space="preserve">certain </w:t>
      </w:r>
      <w:r w:rsidR="00B27154" w:rsidRPr="00922076">
        <w:rPr>
          <w:rFonts w:ascii="Times New Roman" w:hAnsi="Times New Roman" w:cs="Times New Roman"/>
        </w:rPr>
        <w:t>faculty</w:t>
      </w:r>
      <w:r w:rsidR="00D908C2" w:rsidRPr="00922076">
        <w:rPr>
          <w:rFonts w:ascii="Times New Roman" w:hAnsi="Times New Roman" w:cs="Times New Roman"/>
        </w:rPr>
        <w:t xml:space="preserve">. </w:t>
      </w:r>
      <w:r w:rsidR="005620F8" w:rsidRPr="00922076">
        <w:rPr>
          <w:rFonts w:ascii="Times New Roman" w:hAnsi="Times New Roman" w:cs="Times New Roman"/>
        </w:rPr>
        <w:t xml:space="preserve"> </w:t>
      </w:r>
      <w:r w:rsidR="00E17B91" w:rsidRPr="00922076">
        <w:rPr>
          <w:rFonts w:ascii="Times New Roman" w:hAnsi="Times New Roman" w:cs="Times New Roman"/>
        </w:rPr>
        <w:t xml:space="preserve">This policy </w:t>
      </w:r>
      <w:r w:rsidR="005620F8" w:rsidRPr="00922076">
        <w:rPr>
          <w:rFonts w:ascii="Times New Roman" w:hAnsi="Times New Roman" w:cs="Times New Roman"/>
        </w:rPr>
        <w:t>c</w:t>
      </w:r>
      <w:r w:rsidR="00B27154" w:rsidRPr="00922076">
        <w:rPr>
          <w:rFonts w:ascii="Times New Roman" w:hAnsi="Times New Roman" w:cs="Times New Roman"/>
        </w:rPr>
        <w:t>larif</w:t>
      </w:r>
      <w:r w:rsidR="005620F8" w:rsidRPr="00922076">
        <w:rPr>
          <w:rFonts w:ascii="Times New Roman" w:hAnsi="Times New Roman" w:cs="Times New Roman"/>
        </w:rPr>
        <w:t>ies</w:t>
      </w:r>
      <w:r w:rsidR="00B27154" w:rsidRPr="00922076">
        <w:rPr>
          <w:rFonts w:ascii="Times New Roman" w:hAnsi="Times New Roman" w:cs="Times New Roman"/>
        </w:rPr>
        <w:t xml:space="preserve"> </w:t>
      </w:r>
      <w:r w:rsidR="00C030CE" w:rsidRPr="00922076">
        <w:rPr>
          <w:rFonts w:ascii="Times New Roman" w:hAnsi="Times New Roman" w:cs="Times New Roman"/>
        </w:rPr>
        <w:t xml:space="preserve">annual workload </w:t>
      </w:r>
      <w:r w:rsidR="00B27154" w:rsidRPr="00922076">
        <w:rPr>
          <w:rFonts w:ascii="Times New Roman" w:hAnsi="Times New Roman" w:cs="Times New Roman"/>
        </w:rPr>
        <w:t xml:space="preserve">expectations </w:t>
      </w:r>
      <w:r w:rsidR="00225A49" w:rsidRPr="00922076">
        <w:rPr>
          <w:rFonts w:ascii="Times New Roman" w:hAnsi="Times New Roman" w:cs="Times New Roman"/>
        </w:rPr>
        <w:t xml:space="preserve">(as opposed to criteria for promotion) </w:t>
      </w:r>
      <w:r w:rsidR="00B27154" w:rsidRPr="00922076">
        <w:rPr>
          <w:rFonts w:ascii="Times New Roman" w:hAnsi="Times New Roman" w:cs="Times New Roman"/>
        </w:rPr>
        <w:t xml:space="preserve">related to citizenship/service activity. </w:t>
      </w:r>
      <w:r w:rsidR="007810F5" w:rsidRPr="00922076">
        <w:rPr>
          <w:rFonts w:ascii="Times New Roman" w:hAnsi="Times New Roman" w:cs="Times New Roman"/>
        </w:rPr>
        <w:t xml:space="preserve">Clarified </w:t>
      </w:r>
      <w:r w:rsidR="00B27154" w:rsidRPr="00922076">
        <w:rPr>
          <w:rFonts w:ascii="Times New Roman" w:hAnsi="Times New Roman" w:cs="Times New Roman"/>
        </w:rPr>
        <w:t xml:space="preserve">expectations </w:t>
      </w:r>
      <w:r w:rsidR="007810F5" w:rsidRPr="00922076">
        <w:rPr>
          <w:rFonts w:ascii="Times New Roman" w:hAnsi="Times New Roman" w:cs="Times New Roman"/>
        </w:rPr>
        <w:t xml:space="preserve">may </w:t>
      </w:r>
      <w:r w:rsidR="00D908C2" w:rsidRPr="00922076">
        <w:rPr>
          <w:rFonts w:ascii="Times New Roman" w:hAnsi="Times New Roman" w:cs="Times New Roman"/>
        </w:rPr>
        <w:t>help</w:t>
      </w:r>
      <w:r w:rsidR="005E2598" w:rsidRPr="00922076">
        <w:rPr>
          <w:rFonts w:ascii="Times New Roman" w:hAnsi="Times New Roman" w:cs="Times New Roman"/>
        </w:rPr>
        <w:t xml:space="preserve"> </w:t>
      </w:r>
      <w:r w:rsidR="00D908C2" w:rsidRPr="00922076">
        <w:rPr>
          <w:rFonts w:ascii="Times New Roman" w:hAnsi="Times New Roman" w:cs="Times New Roman"/>
        </w:rPr>
        <w:t xml:space="preserve">in the following ways: </w:t>
      </w:r>
    </w:p>
    <w:p w14:paraId="73A2FD3A" w14:textId="695A2176" w:rsidR="00D908C2" w:rsidRPr="00922076" w:rsidRDefault="00ED0B58" w:rsidP="00D908C2">
      <w:pPr>
        <w:pStyle w:val="ListParagraph"/>
        <w:numPr>
          <w:ilvl w:val="0"/>
          <w:numId w:val="1"/>
        </w:numPr>
        <w:rPr>
          <w:rFonts w:ascii="Times New Roman" w:hAnsi="Times New Roman" w:cs="Times New Roman"/>
        </w:rPr>
      </w:pPr>
      <w:r w:rsidRPr="00922076">
        <w:rPr>
          <w:rFonts w:ascii="Times New Roman" w:hAnsi="Times New Roman" w:cs="Times New Roman"/>
        </w:rPr>
        <w:t xml:space="preserve">With </w:t>
      </w:r>
      <w:r w:rsidR="00B27154" w:rsidRPr="00922076">
        <w:rPr>
          <w:rFonts w:ascii="Times New Roman" w:hAnsi="Times New Roman" w:cs="Times New Roman"/>
        </w:rPr>
        <w:t xml:space="preserve">a clearer understanding </w:t>
      </w:r>
      <w:r w:rsidRPr="00922076">
        <w:rPr>
          <w:rFonts w:ascii="Times New Roman" w:hAnsi="Times New Roman" w:cs="Times New Roman"/>
        </w:rPr>
        <w:t xml:space="preserve">of </w:t>
      </w:r>
      <w:r w:rsidR="00B27154" w:rsidRPr="00922076">
        <w:rPr>
          <w:rFonts w:ascii="Times New Roman" w:hAnsi="Times New Roman" w:cs="Times New Roman"/>
        </w:rPr>
        <w:t xml:space="preserve">what is expected of them, </w:t>
      </w:r>
      <w:r w:rsidRPr="00922076">
        <w:rPr>
          <w:rFonts w:ascii="Times New Roman" w:hAnsi="Times New Roman" w:cs="Times New Roman"/>
        </w:rPr>
        <w:t xml:space="preserve">faculty </w:t>
      </w:r>
      <w:r w:rsidR="00CB2251" w:rsidRPr="00922076">
        <w:rPr>
          <w:rFonts w:ascii="Times New Roman" w:hAnsi="Times New Roman" w:cs="Times New Roman"/>
        </w:rPr>
        <w:t xml:space="preserve">will </w:t>
      </w:r>
      <w:r w:rsidR="005620F8" w:rsidRPr="00922076">
        <w:rPr>
          <w:rFonts w:ascii="Times New Roman" w:hAnsi="Times New Roman" w:cs="Times New Roman"/>
        </w:rPr>
        <w:t xml:space="preserve">be better able to ensure they are engaging in </w:t>
      </w:r>
      <w:r w:rsidR="005620F8" w:rsidRPr="00922076">
        <w:rPr>
          <w:rFonts w:ascii="Times New Roman" w:hAnsi="Times New Roman" w:cs="Times New Roman"/>
          <w:u w:val="single"/>
        </w:rPr>
        <w:t>sufficient</w:t>
      </w:r>
      <w:r w:rsidR="005620F8" w:rsidRPr="00922076">
        <w:rPr>
          <w:rFonts w:ascii="Times New Roman" w:hAnsi="Times New Roman" w:cs="Times New Roman"/>
        </w:rPr>
        <w:t xml:space="preserve"> service</w:t>
      </w:r>
      <w:r w:rsidR="00950274" w:rsidRPr="00922076">
        <w:rPr>
          <w:rFonts w:ascii="Times New Roman" w:hAnsi="Times New Roman" w:cs="Times New Roman"/>
        </w:rPr>
        <w:t xml:space="preserve">, and </w:t>
      </w:r>
      <w:r w:rsidR="005620F8" w:rsidRPr="00922076">
        <w:rPr>
          <w:rFonts w:ascii="Times New Roman" w:hAnsi="Times New Roman" w:cs="Times New Roman"/>
        </w:rPr>
        <w:t xml:space="preserve">determine </w:t>
      </w:r>
      <w:r w:rsidR="00CB2251" w:rsidRPr="00922076">
        <w:rPr>
          <w:rFonts w:ascii="Times New Roman" w:hAnsi="Times New Roman" w:cs="Times New Roman"/>
        </w:rPr>
        <w:t xml:space="preserve">when it is </w:t>
      </w:r>
      <w:r w:rsidR="009A2AE8" w:rsidRPr="00922076">
        <w:rPr>
          <w:rFonts w:ascii="Times New Roman" w:hAnsi="Times New Roman" w:cs="Times New Roman"/>
        </w:rPr>
        <w:t xml:space="preserve">reasonable </w:t>
      </w:r>
      <w:r w:rsidR="00CB2251" w:rsidRPr="00922076">
        <w:rPr>
          <w:rFonts w:ascii="Times New Roman" w:hAnsi="Times New Roman" w:cs="Times New Roman"/>
        </w:rPr>
        <w:t xml:space="preserve">to </w:t>
      </w:r>
      <w:r w:rsidR="00CB2251" w:rsidRPr="00922076">
        <w:rPr>
          <w:rFonts w:ascii="Times New Roman" w:hAnsi="Times New Roman" w:cs="Times New Roman"/>
          <w:u w:val="single"/>
        </w:rPr>
        <w:t>decline</w:t>
      </w:r>
      <w:r w:rsidR="00CB2251" w:rsidRPr="00922076">
        <w:rPr>
          <w:rFonts w:ascii="Times New Roman" w:hAnsi="Times New Roman" w:cs="Times New Roman"/>
        </w:rPr>
        <w:t xml:space="preserve"> </w:t>
      </w:r>
      <w:r w:rsidRPr="00922076">
        <w:rPr>
          <w:rFonts w:ascii="Times New Roman" w:hAnsi="Times New Roman" w:cs="Times New Roman"/>
        </w:rPr>
        <w:t>taking</w:t>
      </w:r>
      <w:r w:rsidR="00CB2251" w:rsidRPr="00922076">
        <w:rPr>
          <w:rFonts w:ascii="Times New Roman" w:hAnsi="Times New Roman" w:cs="Times New Roman"/>
        </w:rPr>
        <w:t xml:space="preserve"> on </w:t>
      </w:r>
      <w:r w:rsidR="00B27154" w:rsidRPr="00922076">
        <w:rPr>
          <w:rFonts w:ascii="Times New Roman" w:hAnsi="Times New Roman" w:cs="Times New Roman"/>
        </w:rPr>
        <w:t xml:space="preserve">additional </w:t>
      </w:r>
      <w:r w:rsidR="00CB2251" w:rsidRPr="00922076">
        <w:rPr>
          <w:rFonts w:ascii="Times New Roman" w:hAnsi="Times New Roman" w:cs="Times New Roman"/>
        </w:rPr>
        <w:t>commitments.</w:t>
      </w:r>
      <w:r w:rsidR="00D908C2" w:rsidRPr="00922076">
        <w:rPr>
          <w:rFonts w:ascii="Times New Roman" w:hAnsi="Times New Roman" w:cs="Times New Roman"/>
        </w:rPr>
        <w:t xml:space="preserve">  </w:t>
      </w:r>
    </w:p>
    <w:p w14:paraId="4ED99926" w14:textId="10C2A1E7" w:rsidR="00B27154" w:rsidRPr="00922076" w:rsidRDefault="00ED0B58" w:rsidP="00D908C2">
      <w:pPr>
        <w:pStyle w:val="ListParagraph"/>
        <w:numPr>
          <w:ilvl w:val="0"/>
          <w:numId w:val="1"/>
        </w:numPr>
        <w:rPr>
          <w:rFonts w:ascii="Times New Roman" w:hAnsi="Times New Roman" w:cs="Times New Roman"/>
        </w:rPr>
      </w:pPr>
      <w:r w:rsidRPr="00922076">
        <w:rPr>
          <w:rFonts w:ascii="Times New Roman" w:hAnsi="Times New Roman" w:cs="Times New Roman"/>
        </w:rPr>
        <w:t>F</w:t>
      </w:r>
      <w:r w:rsidR="00D908C2" w:rsidRPr="00922076">
        <w:rPr>
          <w:rFonts w:ascii="Times New Roman" w:hAnsi="Times New Roman" w:cs="Times New Roman"/>
        </w:rPr>
        <w:t>aculty who carry an unusually heavy citizenship/service burden in one sub-category</w:t>
      </w:r>
      <w:r w:rsidR="00B35855" w:rsidRPr="00922076">
        <w:rPr>
          <w:rFonts w:ascii="Times New Roman" w:hAnsi="Times New Roman" w:cs="Times New Roman"/>
        </w:rPr>
        <w:t>/”umbrella”</w:t>
      </w:r>
      <w:r w:rsidR="00D908C2" w:rsidRPr="00922076">
        <w:rPr>
          <w:rFonts w:ascii="Times New Roman" w:hAnsi="Times New Roman" w:cs="Times New Roman"/>
        </w:rPr>
        <w:t xml:space="preserve"> </w:t>
      </w:r>
      <w:r w:rsidR="00C24F40" w:rsidRPr="00922076">
        <w:rPr>
          <w:rFonts w:ascii="Times New Roman" w:hAnsi="Times New Roman" w:cs="Times New Roman"/>
        </w:rPr>
        <w:t xml:space="preserve">might </w:t>
      </w:r>
      <w:r w:rsidR="00B35855" w:rsidRPr="00922076">
        <w:rPr>
          <w:rFonts w:ascii="Times New Roman" w:hAnsi="Times New Roman" w:cs="Times New Roman"/>
        </w:rPr>
        <w:t xml:space="preserve">initiate a conversation with </w:t>
      </w:r>
      <w:r w:rsidR="00D908C2" w:rsidRPr="00922076">
        <w:rPr>
          <w:rFonts w:ascii="Times New Roman" w:hAnsi="Times New Roman" w:cs="Times New Roman"/>
        </w:rPr>
        <w:t xml:space="preserve">their Chair and the Dean </w:t>
      </w:r>
      <w:r w:rsidR="00B35855" w:rsidRPr="00922076">
        <w:rPr>
          <w:rFonts w:ascii="Times New Roman" w:hAnsi="Times New Roman" w:cs="Times New Roman"/>
        </w:rPr>
        <w:t xml:space="preserve">about whether </w:t>
      </w:r>
      <w:r w:rsidR="00D908C2" w:rsidRPr="00922076">
        <w:rPr>
          <w:rFonts w:ascii="Times New Roman" w:hAnsi="Times New Roman" w:cs="Times New Roman"/>
        </w:rPr>
        <w:t xml:space="preserve">they can be </w:t>
      </w:r>
      <w:r w:rsidR="00B35855" w:rsidRPr="00922076">
        <w:rPr>
          <w:rFonts w:ascii="Times New Roman" w:hAnsi="Times New Roman" w:cs="Times New Roman"/>
        </w:rPr>
        <w:t xml:space="preserve">explicitly </w:t>
      </w:r>
      <w:r w:rsidR="00D908C2" w:rsidRPr="00922076">
        <w:rPr>
          <w:rFonts w:ascii="Times New Roman" w:hAnsi="Times New Roman" w:cs="Times New Roman"/>
          <w:u w:val="single"/>
        </w:rPr>
        <w:t>relieved</w:t>
      </w:r>
      <w:r w:rsidR="00D908C2" w:rsidRPr="00922076">
        <w:rPr>
          <w:rFonts w:ascii="Times New Roman" w:hAnsi="Times New Roman" w:cs="Times New Roman"/>
        </w:rPr>
        <w:t xml:space="preserve"> of citizenship/service obligations in another sub-category</w:t>
      </w:r>
      <w:r w:rsidR="00B35855" w:rsidRPr="00922076">
        <w:rPr>
          <w:rFonts w:ascii="Times New Roman" w:hAnsi="Times New Roman" w:cs="Times New Roman"/>
        </w:rPr>
        <w:t>/”umbrella</w:t>
      </w:r>
      <w:r w:rsidR="00B52E19" w:rsidRPr="00922076">
        <w:rPr>
          <w:rFonts w:ascii="Times New Roman" w:hAnsi="Times New Roman" w:cs="Times New Roman"/>
        </w:rPr>
        <w:t>,</w:t>
      </w:r>
      <w:r w:rsidR="00B35855" w:rsidRPr="00922076">
        <w:rPr>
          <w:rFonts w:ascii="Times New Roman" w:hAnsi="Times New Roman" w:cs="Times New Roman"/>
        </w:rPr>
        <w:t>”</w:t>
      </w:r>
      <w:r w:rsidR="00B52E19" w:rsidRPr="00922076">
        <w:rPr>
          <w:rFonts w:ascii="Times New Roman" w:hAnsi="Times New Roman" w:cs="Times New Roman"/>
        </w:rPr>
        <w:t xml:space="preserve"> or, in rare cases, request reassigned time.</w:t>
      </w:r>
    </w:p>
    <w:p w14:paraId="0CD5230B" w14:textId="77777777" w:rsidR="003E6176" w:rsidRPr="00922076" w:rsidRDefault="003E6176" w:rsidP="00D908C2">
      <w:pPr>
        <w:pStyle w:val="ListParagraph"/>
        <w:numPr>
          <w:ilvl w:val="0"/>
          <w:numId w:val="1"/>
        </w:numPr>
        <w:rPr>
          <w:rFonts w:ascii="Times New Roman" w:hAnsi="Times New Roman" w:cs="Times New Roman"/>
        </w:rPr>
      </w:pPr>
      <w:r w:rsidRPr="00922076">
        <w:rPr>
          <w:rFonts w:ascii="Times New Roman" w:hAnsi="Times New Roman" w:cs="Times New Roman"/>
        </w:rPr>
        <w:t xml:space="preserve">With clarified expectations, departments may find that they can prioritize and, where appropriate, </w:t>
      </w:r>
      <w:r w:rsidR="00C030CE" w:rsidRPr="00922076">
        <w:rPr>
          <w:rFonts w:ascii="Times New Roman" w:hAnsi="Times New Roman" w:cs="Times New Roman"/>
          <w:u w:val="single"/>
        </w:rPr>
        <w:t>eliminate</w:t>
      </w:r>
      <w:r w:rsidR="00C030CE" w:rsidRPr="00922076">
        <w:rPr>
          <w:rFonts w:ascii="Times New Roman" w:hAnsi="Times New Roman" w:cs="Times New Roman"/>
        </w:rPr>
        <w:t xml:space="preserve"> some activities </w:t>
      </w:r>
      <w:r w:rsidRPr="00922076">
        <w:rPr>
          <w:rFonts w:ascii="Times New Roman" w:hAnsi="Times New Roman" w:cs="Times New Roman"/>
        </w:rPr>
        <w:t xml:space="preserve">that they </w:t>
      </w:r>
      <w:r w:rsidR="00553D35" w:rsidRPr="00922076">
        <w:rPr>
          <w:rFonts w:ascii="Times New Roman" w:hAnsi="Times New Roman" w:cs="Times New Roman"/>
        </w:rPr>
        <w:t xml:space="preserve">deem </w:t>
      </w:r>
      <w:r w:rsidRPr="00922076">
        <w:rPr>
          <w:rFonts w:ascii="Times New Roman" w:hAnsi="Times New Roman" w:cs="Times New Roman"/>
        </w:rPr>
        <w:t>less vital.</w:t>
      </w:r>
    </w:p>
    <w:p w14:paraId="67AE2779" w14:textId="2D0BEF65" w:rsidR="00B8635D" w:rsidRPr="00922076" w:rsidRDefault="00997453" w:rsidP="00B8635D">
      <w:pPr>
        <w:rPr>
          <w:rFonts w:ascii="Times New Roman" w:hAnsi="Times New Roman" w:cs="Times New Roman"/>
          <w:b/>
          <w:u w:val="single"/>
        </w:rPr>
      </w:pPr>
      <w:r w:rsidRPr="00922076">
        <w:rPr>
          <w:rFonts w:ascii="Times New Roman" w:hAnsi="Times New Roman" w:cs="Times New Roman"/>
          <w:b/>
          <w:u w:val="single"/>
        </w:rPr>
        <w:t>All-College Policies for continuing faculty:</w:t>
      </w:r>
    </w:p>
    <w:p w14:paraId="7B288C70" w14:textId="6A86372B" w:rsidR="00ED00FA" w:rsidRPr="00922076" w:rsidRDefault="00ED00FA" w:rsidP="00B8635D">
      <w:pPr>
        <w:rPr>
          <w:rFonts w:ascii="Times New Roman" w:hAnsi="Times New Roman" w:cs="Times New Roman"/>
        </w:rPr>
      </w:pPr>
      <w:r w:rsidRPr="00922076">
        <w:rPr>
          <w:rFonts w:ascii="Times New Roman" w:hAnsi="Times New Roman" w:cs="Times New Roman"/>
        </w:rPr>
        <w:t>Service expectations for continuing faculty are framed first by all-college policy, as articulated in the Faculty Handbook:</w:t>
      </w:r>
    </w:p>
    <w:p w14:paraId="71827CD6" w14:textId="6D4E1DAA" w:rsidR="00ED00FA" w:rsidRPr="009506AE" w:rsidRDefault="007810F5" w:rsidP="00ED00FA">
      <w:pPr>
        <w:spacing w:after="240" w:line="240" w:lineRule="auto"/>
        <w:ind w:left="720"/>
        <w:outlineLvl w:val="3"/>
        <w:rPr>
          <w:rFonts w:eastAsia="Times New Roman" w:cstheme="minorHAnsi"/>
          <w:b/>
          <w:bCs/>
          <w:i/>
          <w:caps/>
        </w:rPr>
      </w:pPr>
      <w:r>
        <w:rPr>
          <w:rFonts w:eastAsia="Times New Roman" w:cstheme="minorHAnsi"/>
          <w:b/>
          <w:bCs/>
          <w:i/>
          <w:caps/>
        </w:rPr>
        <w:t>“</w:t>
      </w:r>
      <w:r w:rsidR="00ED00FA" w:rsidRPr="009506AE">
        <w:rPr>
          <w:rFonts w:eastAsia="Times New Roman" w:cstheme="minorHAnsi"/>
          <w:b/>
          <w:bCs/>
          <w:i/>
          <w:caps/>
        </w:rPr>
        <w:t>4.12.7.3 SERVICE</w:t>
      </w:r>
    </w:p>
    <w:p w14:paraId="35FC19E6" w14:textId="77777777" w:rsidR="00ED00FA" w:rsidRPr="009506AE" w:rsidRDefault="00ED00FA" w:rsidP="00ED00FA">
      <w:pPr>
        <w:spacing w:after="240" w:line="240" w:lineRule="auto"/>
        <w:ind w:left="720"/>
        <w:rPr>
          <w:rFonts w:eastAsia="Times New Roman" w:cstheme="minorHAnsi"/>
          <w:i/>
        </w:rPr>
      </w:pPr>
      <w:r w:rsidRPr="009506AE">
        <w:rPr>
          <w:rFonts w:eastAsia="Times New Roman" w:cstheme="minorHAnsi"/>
          <w:i/>
        </w:rPr>
        <w:t>… [S]</w:t>
      </w:r>
      <w:proofErr w:type="spellStart"/>
      <w:r w:rsidRPr="009506AE">
        <w:rPr>
          <w:rFonts w:eastAsia="Times New Roman" w:cstheme="minorHAnsi"/>
          <w:i/>
        </w:rPr>
        <w:t>ervice</w:t>
      </w:r>
      <w:proofErr w:type="spellEnd"/>
      <w:r w:rsidRPr="009506AE">
        <w:rPr>
          <w:rFonts w:eastAsia="Times New Roman" w:cstheme="minorHAnsi"/>
          <w:i/>
        </w:rPr>
        <w:t xml:space="preserve"> includes both ad hoc and formal activities within the department, planning unit, school, and College. In addition, faculty may choose to serve in external professional organizations.</w:t>
      </w:r>
    </w:p>
    <w:p w14:paraId="237A65A6" w14:textId="77777777" w:rsidR="00ED00FA" w:rsidRPr="009506AE" w:rsidRDefault="00ED00FA" w:rsidP="00ED00FA">
      <w:pPr>
        <w:spacing w:after="240" w:line="240" w:lineRule="auto"/>
        <w:ind w:left="720"/>
        <w:outlineLvl w:val="3"/>
        <w:rPr>
          <w:rFonts w:eastAsia="Times New Roman" w:cstheme="minorHAnsi"/>
          <w:b/>
          <w:bCs/>
          <w:i/>
          <w:caps/>
        </w:rPr>
      </w:pPr>
      <w:bookmarkStart w:id="1" w:name="412070301"/>
      <w:bookmarkEnd w:id="1"/>
      <w:r w:rsidRPr="009506AE">
        <w:rPr>
          <w:rFonts w:eastAsia="Times New Roman" w:cstheme="minorHAnsi"/>
          <w:b/>
          <w:bCs/>
          <w:i/>
          <w:caps/>
        </w:rPr>
        <w:t>4.12.7.3.1 SERVICE TO THE DEPARTMENT, PLANNING UNIT, AND/OR SCHOOL</w:t>
      </w:r>
    </w:p>
    <w:p w14:paraId="299A43A8" w14:textId="77777777" w:rsidR="00ED00FA" w:rsidRPr="009506AE" w:rsidRDefault="00ED00FA" w:rsidP="00ED00FA">
      <w:pPr>
        <w:spacing w:after="240" w:line="240" w:lineRule="auto"/>
        <w:ind w:left="720"/>
        <w:rPr>
          <w:rFonts w:eastAsia="Times New Roman" w:cstheme="minorHAnsi"/>
          <w:i/>
        </w:rPr>
      </w:pPr>
      <w:r w:rsidRPr="009506AE">
        <w:rPr>
          <w:rFonts w:eastAsia="Times New Roman" w:cstheme="minorHAnsi"/>
          <w:i/>
        </w:rPr>
        <w:t>Both ad hoc and formal activities are routinely expected of all faculty within a department, planning unit, and/or school. Ad hoc activities may include such duties as being available for interviews with prospective students and their parents, being available to alumni and alumnae, and working at recruitment programs and at registration. Formal activities include, but are not limited to, participation in scheduled department, planning unit, and school meetings and participation on departmental, planning unit, and school committees.</w:t>
      </w:r>
    </w:p>
    <w:p w14:paraId="1E226045" w14:textId="77777777" w:rsidR="00ED00FA" w:rsidRPr="009506AE" w:rsidRDefault="00ED00FA" w:rsidP="00ED00FA">
      <w:pPr>
        <w:spacing w:after="240" w:line="240" w:lineRule="auto"/>
        <w:ind w:left="720"/>
        <w:outlineLvl w:val="3"/>
        <w:rPr>
          <w:rFonts w:eastAsia="Times New Roman" w:cstheme="minorHAnsi"/>
          <w:b/>
          <w:bCs/>
          <w:i/>
          <w:caps/>
        </w:rPr>
      </w:pPr>
      <w:r w:rsidRPr="009506AE">
        <w:rPr>
          <w:rFonts w:eastAsia="Times New Roman" w:cstheme="minorHAnsi"/>
          <w:b/>
          <w:bCs/>
          <w:i/>
          <w:caps/>
        </w:rPr>
        <w:t>4.12.7.3.2 SERVICE TO THE COLLEGE</w:t>
      </w:r>
    </w:p>
    <w:p w14:paraId="27D4018C" w14:textId="77777777" w:rsidR="00ED00FA" w:rsidRPr="009506AE" w:rsidRDefault="00ED00FA" w:rsidP="00ED00FA">
      <w:pPr>
        <w:spacing w:after="240" w:line="240" w:lineRule="auto"/>
        <w:ind w:left="720"/>
        <w:rPr>
          <w:rFonts w:eastAsia="Times New Roman" w:cstheme="minorHAnsi"/>
          <w:i/>
        </w:rPr>
      </w:pPr>
      <w:r w:rsidRPr="009506AE">
        <w:rPr>
          <w:rFonts w:eastAsia="Times New Roman" w:cstheme="minorHAnsi"/>
          <w:i/>
        </w:rPr>
        <w:t>All faculty are expected to attend Commencement, formal convocations of the College, and scheduled all-College faculty meetings. The standing committees of the College are a very important part of faculty responsibility, and availability for service on these standing committees and on all-College ad hoc committees is expected of all faculty. No faculty member shall be expected to serve on more than one all-College standing committee at a time.</w:t>
      </w:r>
    </w:p>
    <w:p w14:paraId="0B4C2078" w14:textId="77777777" w:rsidR="00ED00FA" w:rsidRPr="009506AE" w:rsidRDefault="00ED00FA" w:rsidP="00ED00FA">
      <w:pPr>
        <w:spacing w:after="240" w:line="240" w:lineRule="auto"/>
        <w:ind w:left="720"/>
        <w:outlineLvl w:val="3"/>
        <w:rPr>
          <w:rFonts w:eastAsia="Times New Roman" w:cstheme="minorHAnsi"/>
          <w:b/>
          <w:bCs/>
          <w:i/>
          <w:caps/>
        </w:rPr>
      </w:pPr>
      <w:bookmarkStart w:id="2" w:name="412070302"/>
      <w:bookmarkEnd w:id="2"/>
      <w:r w:rsidRPr="009506AE">
        <w:rPr>
          <w:rFonts w:eastAsia="Times New Roman" w:cstheme="minorHAnsi"/>
          <w:b/>
          <w:bCs/>
          <w:i/>
          <w:caps/>
        </w:rPr>
        <w:t>4.12.7.3.3 SERVICE TO THE PROFESSION</w:t>
      </w:r>
    </w:p>
    <w:p w14:paraId="02864F73" w14:textId="7096EC74" w:rsidR="00ED00FA" w:rsidRPr="009506AE" w:rsidRDefault="00ED00FA" w:rsidP="00ED00FA">
      <w:pPr>
        <w:spacing w:after="240" w:line="240" w:lineRule="auto"/>
        <w:ind w:left="720"/>
        <w:rPr>
          <w:rFonts w:eastAsia="Times New Roman" w:cstheme="minorHAnsi"/>
          <w:i/>
        </w:rPr>
      </w:pPr>
      <w:r w:rsidRPr="009506AE">
        <w:rPr>
          <w:rFonts w:eastAsia="Times New Roman" w:cstheme="minorHAnsi"/>
          <w:i/>
        </w:rPr>
        <w:t xml:space="preserve">Subject to planning unit and school standards, service to the profession may be considered as a partial substitute for service to the department, planning unit, school, and College. Professional </w:t>
      </w:r>
      <w:r w:rsidRPr="009506AE">
        <w:rPr>
          <w:rFonts w:eastAsia="Times New Roman" w:cstheme="minorHAnsi"/>
          <w:i/>
        </w:rPr>
        <w:lastRenderedPageBreak/>
        <w:t>service includes, for example, holding office in a professional organization, refereeing grant proposals for an external agency, or professional service in agencies or organizations.</w:t>
      </w:r>
      <w:r w:rsidR="007810F5">
        <w:rPr>
          <w:rFonts w:eastAsia="Times New Roman" w:cstheme="minorHAnsi"/>
          <w:i/>
        </w:rPr>
        <w:t>”</w:t>
      </w:r>
    </w:p>
    <w:p w14:paraId="39FF5273" w14:textId="5914D83D" w:rsidR="00ED00FA" w:rsidRPr="00922076" w:rsidRDefault="00997453" w:rsidP="00B8635D">
      <w:pPr>
        <w:rPr>
          <w:rFonts w:ascii="Times New Roman" w:hAnsi="Times New Roman" w:cs="Times New Roman"/>
        </w:rPr>
      </w:pPr>
      <w:r w:rsidRPr="00922076">
        <w:rPr>
          <w:rFonts w:ascii="Times New Roman" w:hAnsi="Times New Roman" w:cs="Times New Roman"/>
          <w:b/>
          <w:u w:val="single"/>
        </w:rPr>
        <w:t>School</w:t>
      </w:r>
      <w:r w:rsidR="00466053" w:rsidRPr="00922076">
        <w:rPr>
          <w:rFonts w:ascii="Times New Roman" w:hAnsi="Times New Roman" w:cs="Times New Roman"/>
          <w:b/>
          <w:u w:val="single"/>
        </w:rPr>
        <w:t xml:space="preserve"> of H&amp;S</w:t>
      </w:r>
      <w:r w:rsidRPr="00922076">
        <w:rPr>
          <w:rFonts w:ascii="Times New Roman" w:hAnsi="Times New Roman" w:cs="Times New Roman"/>
          <w:b/>
          <w:u w:val="single"/>
        </w:rPr>
        <w:t xml:space="preserve">-level Policies for </w:t>
      </w:r>
      <w:r w:rsidR="00ED00FA" w:rsidRPr="00922076">
        <w:rPr>
          <w:rFonts w:ascii="Times New Roman" w:hAnsi="Times New Roman" w:cs="Times New Roman"/>
          <w:b/>
          <w:u w:val="single"/>
        </w:rPr>
        <w:t>continuing faculty</w:t>
      </w:r>
      <w:r w:rsidR="00ED00FA" w:rsidRPr="00922076">
        <w:rPr>
          <w:rFonts w:ascii="Times New Roman" w:hAnsi="Times New Roman" w:cs="Times New Roman"/>
        </w:rPr>
        <w:t>:</w:t>
      </w:r>
    </w:p>
    <w:p w14:paraId="7A6E379B" w14:textId="77777777" w:rsidR="00375EAA" w:rsidRPr="00922076" w:rsidRDefault="00375EAA" w:rsidP="00375EAA">
      <w:pPr>
        <w:ind w:left="720"/>
        <w:rPr>
          <w:rFonts w:ascii="Times New Roman" w:hAnsi="Times New Roman" w:cs="Times New Roman"/>
        </w:rPr>
      </w:pPr>
      <w:r w:rsidRPr="00922076">
        <w:rPr>
          <w:rFonts w:ascii="Times New Roman" w:hAnsi="Times New Roman" w:cs="Times New Roman"/>
          <w:b/>
        </w:rPr>
        <w:t>Service to the Department</w:t>
      </w:r>
      <w:r w:rsidRPr="00922076">
        <w:rPr>
          <w:rFonts w:ascii="Times New Roman" w:hAnsi="Times New Roman" w:cs="Times New Roman"/>
        </w:rPr>
        <w:t>:</w:t>
      </w:r>
    </w:p>
    <w:p w14:paraId="71583668" w14:textId="4EECA0F3" w:rsidR="00375EAA" w:rsidRPr="00922076" w:rsidRDefault="00375EAA" w:rsidP="00375EAA">
      <w:pPr>
        <w:ind w:left="720" w:hanging="720"/>
        <w:rPr>
          <w:rFonts w:ascii="Times New Roman" w:hAnsi="Times New Roman" w:cs="Times New Roman"/>
        </w:rPr>
      </w:pPr>
      <w:r w:rsidRPr="00922076">
        <w:rPr>
          <w:rFonts w:ascii="Times New Roman" w:hAnsi="Times New Roman" w:cs="Times New Roman"/>
        </w:rPr>
        <w:tab/>
        <w:t xml:space="preserve">Department-level </w:t>
      </w:r>
      <w:r w:rsidR="00BA2BDE" w:rsidRPr="00922076">
        <w:rPr>
          <w:rFonts w:ascii="Times New Roman" w:hAnsi="Times New Roman" w:cs="Times New Roman"/>
        </w:rPr>
        <w:t xml:space="preserve">annual </w:t>
      </w:r>
      <w:r w:rsidRPr="00922076">
        <w:rPr>
          <w:rFonts w:ascii="Times New Roman" w:hAnsi="Times New Roman" w:cs="Times New Roman"/>
        </w:rPr>
        <w:t>service workload expectations will be specified in departments’ policies.</w:t>
      </w:r>
      <w:r w:rsidR="00950274" w:rsidRPr="00922076">
        <w:rPr>
          <w:rFonts w:ascii="Times New Roman" w:hAnsi="Times New Roman" w:cs="Times New Roman"/>
        </w:rPr>
        <w:t xml:space="preserve"> Included in this category are </w:t>
      </w:r>
      <w:r w:rsidR="00483919" w:rsidRPr="00922076">
        <w:rPr>
          <w:rFonts w:ascii="Times New Roman" w:hAnsi="Times New Roman" w:cs="Times New Roman"/>
        </w:rPr>
        <w:t xml:space="preserve">both </w:t>
      </w:r>
      <w:r w:rsidR="00950274" w:rsidRPr="00922076">
        <w:rPr>
          <w:rFonts w:ascii="Times New Roman" w:hAnsi="Times New Roman" w:cs="Times New Roman"/>
        </w:rPr>
        <w:t>activities strictly within</w:t>
      </w:r>
      <w:r w:rsidR="00483919" w:rsidRPr="00922076">
        <w:rPr>
          <w:rFonts w:ascii="Times New Roman" w:hAnsi="Times New Roman" w:cs="Times New Roman"/>
        </w:rPr>
        <w:t xml:space="preserve"> the department, such as service</w:t>
      </w:r>
      <w:r w:rsidR="00950274" w:rsidRPr="00922076">
        <w:rPr>
          <w:rFonts w:ascii="Times New Roman" w:hAnsi="Times New Roman" w:cs="Times New Roman"/>
        </w:rPr>
        <w:t xml:space="preserve"> on depa</w:t>
      </w:r>
      <w:r w:rsidR="00483919" w:rsidRPr="00922076">
        <w:rPr>
          <w:rFonts w:ascii="Times New Roman" w:hAnsi="Times New Roman" w:cs="Times New Roman"/>
        </w:rPr>
        <w:t>rtmental committees, and service</w:t>
      </w:r>
      <w:r w:rsidR="00950274" w:rsidRPr="00922076">
        <w:rPr>
          <w:rFonts w:ascii="Times New Roman" w:hAnsi="Times New Roman" w:cs="Times New Roman"/>
        </w:rPr>
        <w:t xml:space="preserve"> as a departmental representative in activities outside the department, such as the majors and minors fair.</w:t>
      </w:r>
      <w:r w:rsidR="00225A49" w:rsidRPr="00922076">
        <w:rPr>
          <w:rFonts w:ascii="Times New Roman" w:hAnsi="Times New Roman" w:cs="Times New Roman"/>
        </w:rPr>
        <w:t xml:space="preserve"> Faculty without annual workload credits allocated to service should only be expected to engage in a minimal level of departmental service</w:t>
      </w:r>
      <w:r w:rsidR="004D7AB2" w:rsidRPr="00922076">
        <w:rPr>
          <w:rFonts w:ascii="Times New Roman" w:hAnsi="Times New Roman" w:cs="Times New Roman"/>
        </w:rPr>
        <w:t>, and expectations for non-tenure-eligible faculty should be specified in activity agreements.</w:t>
      </w:r>
    </w:p>
    <w:p w14:paraId="5B81AB9B" w14:textId="7231DD91" w:rsidR="00ED00FA" w:rsidRPr="00922076" w:rsidRDefault="00ED00FA" w:rsidP="00375EAA">
      <w:pPr>
        <w:ind w:firstLine="720"/>
        <w:rPr>
          <w:rFonts w:ascii="Times New Roman" w:hAnsi="Times New Roman" w:cs="Times New Roman"/>
          <w:b/>
        </w:rPr>
      </w:pPr>
      <w:r w:rsidRPr="00922076">
        <w:rPr>
          <w:rFonts w:ascii="Times New Roman" w:hAnsi="Times New Roman" w:cs="Times New Roman"/>
          <w:b/>
        </w:rPr>
        <w:t xml:space="preserve">Service to the </w:t>
      </w:r>
      <w:r w:rsidR="00375EAA" w:rsidRPr="00922076">
        <w:rPr>
          <w:rFonts w:ascii="Times New Roman" w:hAnsi="Times New Roman" w:cs="Times New Roman"/>
          <w:b/>
        </w:rPr>
        <w:t xml:space="preserve">School and/or </w:t>
      </w:r>
      <w:r w:rsidRPr="00922076">
        <w:rPr>
          <w:rFonts w:ascii="Times New Roman" w:hAnsi="Times New Roman" w:cs="Times New Roman"/>
          <w:b/>
        </w:rPr>
        <w:t>College:</w:t>
      </w:r>
    </w:p>
    <w:p w14:paraId="1E0C101A" w14:textId="3B39C87A" w:rsidR="00ED00FA" w:rsidRPr="00922076" w:rsidRDefault="00D71288" w:rsidP="009432F4">
      <w:pPr>
        <w:ind w:left="720"/>
        <w:rPr>
          <w:rFonts w:ascii="Times New Roman" w:hAnsi="Times New Roman" w:cs="Times New Roman"/>
        </w:rPr>
      </w:pPr>
      <w:r w:rsidRPr="00922076">
        <w:rPr>
          <w:rFonts w:ascii="Times New Roman" w:hAnsi="Times New Roman" w:cs="Times New Roman"/>
        </w:rPr>
        <w:t xml:space="preserve">Tenured </w:t>
      </w:r>
      <w:r w:rsidR="00546446" w:rsidRPr="00922076">
        <w:rPr>
          <w:rFonts w:ascii="Times New Roman" w:hAnsi="Times New Roman" w:cs="Times New Roman"/>
        </w:rPr>
        <w:t xml:space="preserve">faculty </w:t>
      </w:r>
      <w:r w:rsidR="00802F21" w:rsidRPr="00922076">
        <w:rPr>
          <w:rFonts w:ascii="Times New Roman" w:hAnsi="Times New Roman" w:cs="Times New Roman"/>
        </w:rPr>
        <w:t xml:space="preserve">should regularly engage in substantive service </w:t>
      </w:r>
      <w:r w:rsidR="00ED00FA" w:rsidRPr="00922076">
        <w:rPr>
          <w:rFonts w:ascii="Times New Roman" w:hAnsi="Times New Roman" w:cs="Times New Roman"/>
        </w:rPr>
        <w:t>at the School or College level</w:t>
      </w:r>
      <w:r w:rsidR="005620F8" w:rsidRPr="00922076">
        <w:rPr>
          <w:rFonts w:ascii="Times New Roman" w:hAnsi="Times New Roman" w:cs="Times New Roman"/>
        </w:rPr>
        <w:t>, such as serving on standing or ad-hoc School or College wide committees</w:t>
      </w:r>
      <w:r w:rsidR="00E77943" w:rsidRPr="00922076">
        <w:rPr>
          <w:rFonts w:ascii="Times New Roman" w:hAnsi="Times New Roman" w:cs="Times New Roman"/>
        </w:rPr>
        <w:t xml:space="preserve"> or engaging in other substantive activities at those levels</w:t>
      </w:r>
      <w:r w:rsidR="00483919" w:rsidRPr="00922076">
        <w:rPr>
          <w:rFonts w:ascii="Times New Roman" w:hAnsi="Times New Roman" w:cs="Times New Roman"/>
        </w:rPr>
        <w:t xml:space="preserve">. </w:t>
      </w:r>
      <w:r w:rsidRPr="00922076">
        <w:rPr>
          <w:rFonts w:ascii="Times New Roman" w:hAnsi="Times New Roman" w:cs="Times New Roman"/>
        </w:rPr>
        <w:t xml:space="preserve"> Typically, </w:t>
      </w:r>
      <w:r w:rsidR="005A271F" w:rsidRPr="00922076">
        <w:rPr>
          <w:rFonts w:ascii="Times New Roman" w:hAnsi="Times New Roman" w:cs="Times New Roman"/>
        </w:rPr>
        <w:t>tenure-track</w:t>
      </w:r>
      <w:r w:rsidRPr="00922076">
        <w:rPr>
          <w:rFonts w:ascii="Times New Roman" w:hAnsi="Times New Roman" w:cs="Times New Roman"/>
        </w:rPr>
        <w:t xml:space="preserve"> faculty in their first year at the School will have no college- or school-level service expectations, except for those noted in 4.12.7.3.2 in the Handbook. They should use the remainder of the probationary period to increase their level of engagement in school and college service to that expected of a ten</w:t>
      </w:r>
      <w:r w:rsidR="004D7AB2" w:rsidRPr="00922076">
        <w:rPr>
          <w:rFonts w:ascii="Times New Roman" w:hAnsi="Times New Roman" w:cs="Times New Roman"/>
        </w:rPr>
        <w:t>u</w:t>
      </w:r>
      <w:r w:rsidRPr="00922076">
        <w:rPr>
          <w:rFonts w:ascii="Times New Roman" w:hAnsi="Times New Roman" w:cs="Times New Roman"/>
        </w:rPr>
        <w:t>red faculty member. Non-tenure-eligible faculty members with service load credits should have service expectations specified in the activity agreement.</w:t>
      </w:r>
      <w:r w:rsidR="00483919" w:rsidRPr="00922076">
        <w:rPr>
          <w:rFonts w:ascii="Times New Roman" w:hAnsi="Times New Roman" w:cs="Times New Roman"/>
        </w:rPr>
        <w:t xml:space="preserve"> </w:t>
      </w:r>
      <w:r w:rsidR="00802F21" w:rsidRPr="00922076">
        <w:rPr>
          <w:rFonts w:ascii="Times New Roman" w:hAnsi="Times New Roman" w:cs="Times New Roman"/>
        </w:rPr>
        <w:t>No faculty member shall be expected to serve on more than one all-College or all-School standing committee at a time.</w:t>
      </w:r>
    </w:p>
    <w:p w14:paraId="0BAF3E40" w14:textId="064FBD4B" w:rsidR="00ED00FA" w:rsidRPr="00922076" w:rsidRDefault="00ED00FA" w:rsidP="00B8635D">
      <w:pPr>
        <w:rPr>
          <w:rFonts w:ascii="Times New Roman" w:hAnsi="Times New Roman" w:cs="Times New Roman"/>
        </w:rPr>
      </w:pPr>
      <w:r w:rsidRPr="00922076">
        <w:rPr>
          <w:rFonts w:ascii="Times New Roman" w:hAnsi="Times New Roman" w:cs="Times New Roman"/>
        </w:rPr>
        <w:tab/>
      </w:r>
      <w:r w:rsidRPr="00922076">
        <w:rPr>
          <w:rFonts w:ascii="Times New Roman" w:hAnsi="Times New Roman" w:cs="Times New Roman"/>
          <w:b/>
        </w:rPr>
        <w:t>Service to the Profession</w:t>
      </w:r>
      <w:r w:rsidRPr="00922076">
        <w:rPr>
          <w:rFonts w:ascii="Times New Roman" w:hAnsi="Times New Roman" w:cs="Times New Roman"/>
        </w:rPr>
        <w:t>:</w:t>
      </w:r>
    </w:p>
    <w:p w14:paraId="3C1D9693" w14:textId="0A4E6403" w:rsidR="00ED00FA" w:rsidRPr="00922076" w:rsidRDefault="00ED00FA" w:rsidP="00ED00FA">
      <w:pPr>
        <w:ind w:left="720" w:hanging="720"/>
        <w:rPr>
          <w:rFonts w:ascii="Times New Roman" w:hAnsi="Times New Roman" w:cs="Times New Roman"/>
        </w:rPr>
      </w:pPr>
      <w:r w:rsidRPr="00922076">
        <w:rPr>
          <w:rFonts w:ascii="Times New Roman" w:hAnsi="Times New Roman" w:cs="Times New Roman"/>
        </w:rPr>
        <w:tab/>
        <w:t>If service to the profession is to be counted as relieving the faculty member from some expectations of annual service co</w:t>
      </w:r>
      <w:r w:rsidR="00466053" w:rsidRPr="00922076">
        <w:rPr>
          <w:rFonts w:ascii="Times New Roman" w:hAnsi="Times New Roman" w:cs="Times New Roman"/>
        </w:rPr>
        <w:t>ntributions at the Department, S</w:t>
      </w:r>
      <w:r w:rsidRPr="00922076">
        <w:rPr>
          <w:rFonts w:ascii="Times New Roman" w:hAnsi="Times New Roman" w:cs="Times New Roman"/>
        </w:rPr>
        <w:t>chool, or College level</w:t>
      </w:r>
      <w:r w:rsidR="00997453" w:rsidRPr="00922076">
        <w:rPr>
          <w:rFonts w:ascii="Times New Roman" w:hAnsi="Times New Roman" w:cs="Times New Roman"/>
        </w:rPr>
        <w:t>s</w:t>
      </w:r>
      <w:r w:rsidRPr="00922076">
        <w:rPr>
          <w:rFonts w:ascii="Times New Roman" w:hAnsi="Times New Roman" w:cs="Times New Roman"/>
        </w:rPr>
        <w:t>, that shall be established through consultation with the Chair</w:t>
      </w:r>
      <w:r w:rsidR="004F721E" w:rsidRPr="00922076">
        <w:rPr>
          <w:rFonts w:ascii="Times New Roman" w:hAnsi="Times New Roman" w:cs="Times New Roman"/>
        </w:rPr>
        <w:t xml:space="preserve"> and/or Dean</w:t>
      </w:r>
      <w:r w:rsidR="007810F5" w:rsidRPr="00922076">
        <w:rPr>
          <w:rFonts w:ascii="Times New Roman" w:hAnsi="Times New Roman" w:cs="Times New Roman"/>
        </w:rPr>
        <w:t>, though such arrangements must comply with all Faculty Handbook expectations</w:t>
      </w:r>
      <w:r w:rsidRPr="00922076">
        <w:rPr>
          <w:rFonts w:ascii="Times New Roman" w:hAnsi="Times New Roman" w:cs="Times New Roman"/>
        </w:rPr>
        <w:t>.</w:t>
      </w:r>
    </w:p>
    <w:p w14:paraId="70974663" w14:textId="1AF6282A" w:rsidR="00581D36" w:rsidRPr="00922076" w:rsidRDefault="00581D36" w:rsidP="00527060">
      <w:pPr>
        <w:ind w:left="720"/>
        <w:rPr>
          <w:rFonts w:ascii="Times New Roman" w:hAnsi="Times New Roman" w:cs="Times New Roman"/>
          <w:b/>
        </w:rPr>
      </w:pPr>
      <w:r w:rsidRPr="00922076">
        <w:rPr>
          <w:rFonts w:ascii="Times New Roman" w:hAnsi="Times New Roman" w:cs="Times New Roman"/>
          <w:b/>
        </w:rPr>
        <w:t>Non-Standard Distributions of Service Workload</w:t>
      </w:r>
    </w:p>
    <w:p w14:paraId="3E077F2B" w14:textId="238734B0" w:rsidR="00BA2BDE" w:rsidRPr="00922076" w:rsidRDefault="00773369" w:rsidP="006F32B2">
      <w:pPr>
        <w:ind w:left="720" w:hanging="720"/>
        <w:rPr>
          <w:rFonts w:ascii="Times New Roman" w:hAnsi="Times New Roman" w:cs="Times New Roman"/>
        </w:rPr>
      </w:pPr>
      <w:r w:rsidRPr="00922076">
        <w:rPr>
          <w:rFonts w:ascii="Times New Roman" w:hAnsi="Times New Roman" w:cs="Times New Roman"/>
        </w:rPr>
        <w:tab/>
      </w:r>
      <w:r w:rsidR="00581D36" w:rsidRPr="00922076">
        <w:rPr>
          <w:rFonts w:ascii="Times New Roman" w:hAnsi="Times New Roman" w:cs="Times New Roman"/>
        </w:rPr>
        <w:t xml:space="preserve">As noted in the preamble above, some faculty (for instance, those who provide extensive informal advising to students of certain identities) carry a disproportionate burden of service activities at a particular level.  The 2019 H&amp;S </w:t>
      </w:r>
      <w:r w:rsidR="00F007CA" w:rsidRPr="00922076">
        <w:rPr>
          <w:rFonts w:ascii="Times New Roman" w:hAnsi="Times New Roman" w:cs="Times New Roman"/>
        </w:rPr>
        <w:t xml:space="preserve">Continuing Full-time </w:t>
      </w:r>
      <w:r w:rsidR="00581D36" w:rsidRPr="00922076">
        <w:rPr>
          <w:rFonts w:ascii="Times New Roman" w:hAnsi="Times New Roman" w:cs="Times New Roman"/>
        </w:rPr>
        <w:t>Faculty Workload policy provides room for a faculty member in consultation with the Chair and Dean to arrive at a workload agreement that reallocates the standard distribution of responsibilities.  In the</w:t>
      </w:r>
      <w:r w:rsidR="002D33E3" w:rsidRPr="00922076">
        <w:rPr>
          <w:rFonts w:ascii="Times New Roman" w:hAnsi="Times New Roman" w:cs="Times New Roman"/>
        </w:rPr>
        <w:t xml:space="preserve"> same</w:t>
      </w:r>
      <w:r w:rsidR="00581D36" w:rsidRPr="00922076">
        <w:rPr>
          <w:rFonts w:ascii="Times New Roman" w:hAnsi="Times New Roman" w:cs="Times New Roman"/>
        </w:rPr>
        <w:t xml:space="preserve"> spirit</w:t>
      </w:r>
      <w:r w:rsidR="00DC7B48" w:rsidRPr="00922076">
        <w:rPr>
          <w:rFonts w:ascii="Times New Roman" w:hAnsi="Times New Roman" w:cs="Times New Roman"/>
        </w:rPr>
        <w:t>,</w:t>
      </w:r>
      <w:r w:rsidR="00581D36" w:rsidRPr="00922076">
        <w:rPr>
          <w:rFonts w:ascii="Times New Roman" w:hAnsi="Times New Roman" w:cs="Times New Roman"/>
        </w:rPr>
        <w:t xml:space="preserve"> alternate workload arrangements that feature a non-standard distribution of service workload may be negotiated in consultation with the Chair and Dean.</w:t>
      </w:r>
    </w:p>
    <w:sectPr w:rsidR="00BA2BDE" w:rsidRPr="009220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3511F" w14:textId="77777777" w:rsidR="00831047" w:rsidRDefault="00831047" w:rsidP="00243DA7">
      <w:pPr>
        <w:spacing w:after="0" w:line="240" w:lineRule="auto"/>
      </w:pPr>
      <w:r>
        <w:separator/>
      </w:r>
    </w:p>
  </w:endnote>
  <w:endnote w:type="continuationSeparator" w:id="0">
    <w:p w14:paraId="7C167B66" w14:textId="77777777" w:rsidR="00831047" w:rsidRDefault="00831047" w:rsidP="0024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102922"/>
      <w:docPartObj>
        <w:docPartGallery w:val="Page Numbers (Bottom of Page)"/>
        <w:docPartUnique/>
      </w:docPartObj>
    </w:sdtPr>
    <w:sdtEndPr/>
    <w:sdtContent>
      <w:sdt>
        <w:sdtPr>
          <w:id w:val="1728636285"/>
          <w:docPartObj>
            <w:docPartGallery w:val="Page Numbers (Top of Page)"/>
            <w:docPartUnique/>
          </w:docPartObj>
        </w:sdtPr>
        <w:sdtEndPr/>
        <w:sdtContent>
          <w:p w14:paraId="2E28DC42" w14:textId="77562BC3" w:rsidR="00243DA7" w:rsidRPr="00243DA7" w:rsidRDefault="00243DA7">
            <w:pPr>
              <w:pStyle w:val="Footer"/>
              <w:jc w:val="center"/>
            </w:pPr>
            <w:r w:rsidRPr="00243DA7">
              <w:t xml:space="preserve">Page </w:t>
            </w:r>
            <w:r w:rsidRPr="00243DA7">
              <w:rPr>
                <w:bCs/>
                <w:sz w:val="24"/>
                <w:szCs w:val="24"/>
              </w:rPr>
              <w:fldChar w:fldCharType="begin"/>
            </w:r>
            <w:r w:rsidRPr="00243DA7">
              <w:rPr>
                <w:bCs/>
              </w:rPr>
              <w:instrText xml:space="preserve"> PAGE </w:instrText>
            </w:r>
            <w:r w:rsidRPr="00243DA7">
              <w:rPr>
                <w:bCs/>
                <w:sz w:val="24"/>
                <w:szCs w:val="24"/>
              </w:rPr>
              <w:fldChar w:fldCharType="separate"/>
            </w:r>
            <w:r w:rsidR="002B51DE">
              <w:rPr>
                <w:bCs/>
                <w:noProof/>
              </w:rPr>
              <w:t>2</w:t>
            </w:r>
            <w:r w:rsidRPr="00243DA7">
              <w:rPr>
                <w:bCs/>
                <w:sz w:val="24"/>
                <w:szCs w:val="24"/>
              </w:rPr>
              <w:fldChar w:fldCharType="end"/>
            </w:r>
            <w:r w:rsidRPr="00243DA7">
              <w:t xml:space="preserve"> of </w:t>
            </w:r>
            <w:r w:rsidRPr="00243DA7">
              <w:rPr>
                <w:bCs/>
                <w:sz w:val="24"/>
                <w:szCs w:val="24"/>
              </w:rPr>
              <w:fldChar w:fldCharType="begin"/>
            </w:r>
            <w:r w:rsidRPr="00243DA7">
              <w:rPr>
                <w:bCs/>
              </w:rPr>
              <w:instrText xml:space="preserve"> NUMPAGES  </w:instrText>
            </w:r>
            <w:r w:rsidRPr="00243DA7">
              <w:rPr>
                <w:bCs/>
                <w:sz w:val="24"/>
                <w:szCs w:val="24"/>
              </w:rPr>
              <w:fldChar w:fldCharType="separate"/>
            </w:r>
            <w:r w:rsidR="002B51DE">
              <w:rPr>
                <w:bCs/>
                <w:noProof/>
              </w:rPr>
              <w:t>2</w:t>
            </w:r>
            <w:r w:rsidRPr="00243DA7">
              <w:rPr>
                <w:bCs/>
                <w:sz w:val="24"/>
                <w:szCs w:val="24"/>
              </w:rPr>
              <w:fldChar w:fldCharType="end"/>
            </w:r>
          </w:p>
        </w:sdtContent>
      </w:sdt>
    </w:sdtContent>
  </w:sdt>
  <w:p w14:paraId="7096AEFC" w14:textId="77777777" w:rsidR="00243DA7" w:rsidRDefault="00243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3BC84" w14:textId="77777777" w:rsidR="00831047" w:rsidRDefault="00831047" w:rsidP="00243DA7">
      <w:pPr>
        <w:spacing w:after="0" w:line="240" w:lineRule="auto"/>
      </w:pPr>
      <w:r>
        <w:separator/>
      </w:r>
    </w:p>
  </w:footnote>
  <w:footnote w:type="continuationSeparator" w:id="0">
    <w:p w14:paraId="669BC54A" w14:textId="77777777" w:rsidR="00831047" w:rsidRDefault="00831047" w:rsidP="00243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69FCB" w14:textId="5DC4D363" w:rsidR="00691E43" w:rsidRPr="00691E43" w:rsidRDefault="00691E43">
    <w:pPr>
      <w:pStyle w:val="Header"/>
      <w:rPr>
        <w:i/>
      </w:rPr>
    </w:pPr>
    <w:r w:rsidRPr="00691E43">
      <w:rPr>
        <w:i/>
      </w:rPr>
      <w:t xml:space="preserve">H&amp;S Faculty </w:t>
    </w:r>
    <w:r w:rsidR="00BA2BDE">
      <w:rPr>
        <w:i/>
      </w:rPr>
      <w:t xml:space="preserve">Service </w:t>
    </w:r>
    <w:r w:rsidRPr="00691E43">
      <w:rPr>
        <w:i/>
      </w:rPr>
      <w:t>Workload</w:t>
    </w:r>
    <w:r w:rsidR="00BA2BDE">
      <w:rPr>
        <w:i/>
      </w:rPr>
      <w:t xml:space="preserve"> Expectations</w:t>
    </w:r>
  </w:p>
  <w:p w14:paraId="2AC200C0" w14:textId="49354BB6" w:rsidR="00691E43" w:rsidRPr="00691E43" w:rsidRDefault="00922076">
    <w:pPr>
      <w:pStyle w:val="Header"/>
      <w:rPr>
        <w:i/>
      </w:rPr>
    </w:pPr>
    <w:r>
      <w:rPr>
        <w:i/>
      </w:rPr>
      <w:t>Approved by Senate and Dean, 10/4/19</w:t>
    </w:r>
    <w:r w:rsidR="002B51DE">
      <w:rPr>
        <w:i/>
      </w:rPr>
      <w:t>, Approved by Provost 11/22/19</w:t>
    </w:r>
  </w:p>
  <w:p w14:paraId="3675A58E" w14:textId="77777777" w:rsidR="00691E43" w:rsidRDefault="00691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14BE"/>
    <w:multiLevelType w:val="hybridMultilevel"/>
    <w:tmpl w:val="45A2B2FC"/>
    <w:lvl w:ilvl="0" w:tplc="21D8C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E6950"/>
    <w:multiLevelType w:val="hybridMultilevel"/>
    <w:tmpl w:val="632CF1CA"/>
    <w:lvl w:ilvl="0" w:tplc="86EC9D20">
      <w:start w:val="201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D20DDD"/>
    <w:multiLevelType w:val="hybridMultilevel"/>
    <w:tmpl w:val="178809C4"/>
    <w:lvl w:ilvl="0" w:tplc="5D285D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67CF6"/>
    <w:multiLevelType w:val="hybridMultilevel"/>
    <w:tmpl w:val="2C260148"/>
    <w:lvl w:ilvl="0" w:tplc="498CE77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32A78"/>
    <w:multiLevelType w:val="hybridMultilevel"/>
    <w:tmpl w:val="8F74CA38"/>
    <w:lvl w:ilvl="0" w:tplc="CCA69542">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445684"/>
    <w:multiLevelType w:val="hybridMultilevel"/>
    <w:tmpl w:val="CCAEB63E"/>
    <w:lvl w:ilvl="0" w:tplc="C540D28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07B81"/>
    <w:multiLevelType w:val="hybridMultilevel"/>
    <w:tmpl w:val="73BEC352"/>
    <w:lvl w:ilvl="0" w:tplc="BDAE49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81ACE"/>
    <w:multiLevelType w:val="hybridMultilevel"/>
    <w:tmpl w:val="8F4CCA16"/>
    <w:lvl w:ilvl="0" w:tplc="224E5700">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852D2"/>
    <w:multiLevelType w:val="hybridMultilevel"/>
    <w:tmpl w:val="E612F014"/>
    <w:lvl w:ilvl="0" w:tplc="5E507F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C4C3C"/>
    <w:multiLevelType w:val="hybridMultilevel"/>
    <w:tmpl w:val="5600A696"/>
    <w:lvl w:ilvl="0" w:tplc="1AE29C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34B05"/>
    <w:multiLevelType w:val="hybridMultilevel"/>
    <w:tmpl w:val="1D5CC4AE"/>
    <w:lvl w:ilvl="0" w:tplc="8BC4825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5"/>
  </w:num>
  <w:num w:numId="6">
    <w:abstractNumId w:val="8"/>
  </w:num>
  <w:num w:numId="7">
    <w:abstractNumId w:val="9"/>
  </w:num>
  <w:num w:numId="8">
    <w:abstractNumId w:val="3"/>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54"/>
    <w:rsid w:val="00027B45"/>
    <w:rsid w:val="000377F2"/>
    <w:rsid w:val="00077280"/>
    <w:rsid w:val="000D1655"/>
    <w:rsid w:val="000E4143"/>
    <w:rsid w:val="00144F20"/>
    <w:rsid w:val="001817F5"/>
    <w:rsid w:val="001D7373"/>
    <w:rsid w:val="0020551B"/>
    <w:rsid w:val="00225A49"/>
    <w:rsid w:val="00243517"/>
    <w:rsid w:val="00243DA7"/>
    <w:rsid w:val="002562A6"/>
    <w:rsid w:val="00282149"/>
    <w:rsid w:val="002B25A1"/>
    <w:rsid w:val="002B51DE"/>
    <w:rsid w:val="002D33E3"/>
    <w:rsid w:val="00375EAA"/>
    <w:rsid w:val="00377DEF"/>
    <w:rsid w:val="003D2912"/>
    <w:rsid w:val="003E6176"/>
    <w:rsid w:val="0041000E"/>
    <w:rsid w:val="0041190E"/>
    <w:rsid w:val="004119FE"/>
    <w:rsid w:val="00466053"/>
    <w:rsid w:val="00483919"/>
    <w:rsid w:val="00484833"/>
    <w:rsid w:val="00493236"/>
    <w:rsid w:val="004D7AB2"/>
    <w:rsid w:val="004F721E"/>
    <w:rsid w:val="00516A6A"/>
    <w:rsid w:val="00524DE5"/>
    <w:rsid w:val="00527060"/>
    <w:rsid w:val="00546446"/>
    <w:rsid w:val="00553D35"/>
    <w:rsid w:val="005620F8"/>
    <w:rsid w:val="00581D36"/>
    <w:rsid w:val="005A271F"/>
    <w:rsid w:val="005A36C0"/>
    <w:rsid w:val="005D0E11"/>
    <w:rsid w:val="005E2598"/>
    <w:rsid w:val="00636ED4"/>
    <w:rsid w:val="006626DC"/>
    <w:rsid w:val="00691E43"/>
    <w:rsid w:val="006A75B8"/>
    <w:rsid w:val="006C4E0E"/>
    <w:rsid w:val="006F32B2"/>
    <w:rsid w:val="007011F3"/>
    <w:rsid w:val="00745D26"/>
    <w:rsid w:val="00773369"/>
    <w:rsid w:val="007810F5"/>
    <w:rsid w:val="007814EA"/>
    <w:rsid w:val="00785315"/>
    <w:rsid w:val="007A4BF4"/>
    <w:rsid w:val="007B57C0"/>
    <w:rsid w:val="00802F21"/>
    <w:rsid w:val="00831047"/>
    <w:rsid w:val="00847FFC"/>
    <w:rsid w:val="008B15E7"/>
    <w:rsid w:val="008B6059"/>
    <w:rsid w:val="008C4E0B"/>
    <w:rsid w:val="008F688E"/>
    <w:rsid w:val="00907859"/>
    <w:rsid w:val="00907F9A"/>
    <w:rsid w:val="00922076"/>
    <w:rsid w:val="009432F4"/>
    <w:rsid w:val="00950274"/>
    <w:rsid w:val="009506AE"/>
    <w:rsid w:val="009870DB"/>
    <w:rsid w:val="00997453"/>
    <w:rsid w:val="009A2AE8"/>
    <w:rsid w:val="009C1F3B"/>
    <w:rsid w:val="009D7668"/>
    <w:rsid w:val="00A608DB"/>
    <w:rsid w:val="00A73770"/>
    <w:rsid w:val="00AA67D1"/>
    <w:rsid w:val="00B05E62"/>
    <w:rsid w:val="00B27154"/>
    <w:rsid w:val="00B35855"/>
    <w:rsid w:val="00B37D02"/>
    <w:rsid w:val="00B44D65"/>
    <w:rsid w:val="00B52E19"/>
    <w:rsid w:val="00B8635D"/>
    <w:rsid w:val="00B965B5"/>
    <w:rsid w:val="00BA2BDE"/>
    <w:rsid w:val="00BA64A1"/>
    <w:rsid w:val="00BE6C83"/>
    <w:rsid w:val="00C030CE"/>
    <w:rsid w:val="00C24F40"/>
    <w:rsid w:val="00CB2251"/>
    <w:rsid w:val="00CC0CE1"/>
    <w:rsid w:val="00CF25F2"/>
    <w:rsid w:val="00CF67DE"/>
    <w:rsid w:val="00D71288"/>
    <w:rsid w:val="00D908C2"/>
    <w:rsid w:val="00DC7B48"/>
    <w:rsid w:val="00DF6A58"/>
    <w:rsid w:val="00E17B91"/>
    <w:rsid w:val="00E77943"/>
    <w:rsid w:val="00EC1418"/>
    <w:rsid w:val="00ED00FA"/>
    <w:rsid w:val="00ED0B58"/>
    <w:rsid w:val="00EE6F3C"/>
    <w:rsid w:val="00F007CA"/>
    <w:rsid w:val="00F209F5"/>
    <w:rsid w:val="00F841E2"/>
    <w:rsid w:val="00FC5F54"/>
    <w:rsid w:val="00FD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7FD5"/>
  <w15:chartTrackingRefBased/>
  <w15:docId w15:val="{62BF3287-0605-415F-B804-86FA0823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53D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8C2"/>
    <w:pPr>
      <w:ind w:left="720"/>
      <w:contextualSpacing/>
    </w:pPr>
  </w:style>
  <w:style w:type="paragraph" w:styleId="Header">
    <w:name w:val="header"/>
    <w:basedOn w:val="Normal"/>
    <w:link w:val="HeaderChar"/>
    <w:uiPriority w:val="99"/>
    <w:unhideWhenUsed/>
    <w:rsid w:val="00243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DA7"/>
  </w:style>
  <w:style w:type="paragraph" w:styleId="Footer">
    <w:name w:val="footer"/>
    <w:basedOn w:val="Normal"/>
    <w:link w:val="FooterChar"/>
    <w:uiPriority w:val="99"/>
    <w:unhideWhenUsed/>
    <w:rsid w:val="00243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DA7"/>
  </w:style>
  <w:style w:type="character" w:styleId="CommentReference">
    <w:name w:val="annotation reference"/>
    <w:basedOn w:val="DefaultParagraphFont"/>
    <w:uiPriority w:val="99"/>
    <w:semiHidden/>
    <w:unhideWhenUsed/>
    <w:rsid w:val="003E6176"/>
    <w:rPr>
      <w:sz w:val="16"/>
      <w:szCs w:val="16"/>
    </w:rPr>
  </w:style>
  <w:style w:type="paragraph" w:styleId="CommentText">
    <w:name w:val="annotation text"/>
    <w:basedOn w:val="Normal"/>
    <w:link w:val="CommentTextChar"/>
    <w:uiPriority w:val="99"/>
    <w:semiHidden/>
    <w:unhideWhenUsed/>
    <w:rsid w:val="003E6176"/>
    <w:pPr>
      <w:spacing w:line="240" w:lineRule="auto"/>
    </w:pPr>
    <w:rPr>
      <w:sz w:val="20"/>
      <w:szCs w:val="20"/>
    </w:rPr>
  </w:style>
  <w:style w:type="character" w:customStyle="1" w:styleId="CommentTextChar">
    <w:name w:val="Comment Text Char"/>
    <w:basedOn w:val="DefaultParagraphFont"/>
    <w:link w:val="CommentText"/>
    <w:uiPriority w:val="99"/>
    <w:semiHidden/>
    <w:rsid w:val="003E6176"/>
    <w:rPr>
      <w:sz w:val="20"/>
      <w:szCs w:val="20"/>
    </w:rPr>
  </w:style>
  <w:style w:type="paragraph" w:styleId="CommentSubject">
    <w:name w:val="annotation subject"/>
    <w:basedOn w:val="CommentText"/>
    <w:next w:val="CommentText"/>
    <w:link w:val="CommentSubjectChar"/>
    <w:uiPriority w:val="99"/>
    <w:semiHidden/>
    <w:unhideWhenUsed/>
    <w:rsid w:val="003E6176"/>
    <w:rPr>
      <w:b/>
      <w:bCs/>
    </w:rPr>
  </w:style>
  <w:style w:type="character" w:customStyle="1" w:styleId="CommentSubjectChar">
    <w:name w:val="Comment Subject Char"/>
    <w:basedOn w:val="CommentTextChar"/>
    <w:link w:val="CommentSubject"/>
    <w:uiPriority w:val="99"/>
    <w:semiHidden/>
    <w:rsid w:val="003E6176"/>
    <w:rPr>
      <w:b/>
      <w:bCs/>
      <w:sz w:val="20"/>
      <w:szCs w:val="20"/>
    </w:rPr>
  </w:style>
  <w:style w:type="paragraph" w:styleId="BalloonText">
    <w:name w:val="Balloon Text"/>
    <w:basedOn w:val="Normal"/>
    <w:link w:val="BalloonTextChar"/>
    <w:uiPriority w:val="99"/>
    <w:semiHidden/>
    <w:unhideWhenUsed/>
    <w:rsid w:val="003E6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76"/>
    <w:rPr>
      <w:rFonts w:ascii="Segoe UI" w:hAnsi="Segoe UI" w:cs="Segoe UI"/>
      <w:sz w:val="18"/>
      <w:szCs w:val="18"/>
    </w:rPr>
  </w:style>
  <w:style w:type="character" w:customStyle="1" w:styleId="Heading4Char">
    <w:name w:val="Heading 4 Char"/>
    <w:basedOn w:val="DefaultParagraphFont"/>
    <w:link w:val="Heading4"/>
    <w:uiPriority w:val="9"/>
    <w:rsid w:val="00553D3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53D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D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26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4661F-0BF1-46BD-9BD3-CCBA5572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Murday</dc:creator>
  <cp:keywords/>
  <dc:description/>
  <cp:lastModifiedBy>Melanie Stein</cp:lastModifiedBy>
  <cp:revision>6</cp:revision>
  <cp:lastPrinted>2019-09-03T17:42:00Z</cp:lastPrinted>
  <dcterms:created xsi:type="dcterms:W3CDTF">2019-10-04T22:12:00Z</dcterms:created>
  <dcterms:modified xsi:type="dcterms:W3CDTF">2019-11-23T02:05:00Z</dcterms:modified>
</cp:coreProperties>
</file>